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3D" w:rsidRPr="0056153D" w:rsidRDefault="0056153D" w:rsidP="00561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МИНОБРНАУКИ РОССИИ</w:t>
      </w:r>
    </w:p>
    <w:p w:rsidR="0056153D" w:rsidRPr="0056153D" w:rsidRDefault="0056153D" w:rsidP="0056153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</w:rPr>
        <w:t xml:space="preserve"> ФГБОУ ВО «Астраханский государственный университет им. В.Н. Татищева»</w:t>
      </w:r>
    </w:p>
    <w:p w:rsidR="0056153D" w:rsidRPr="0056153D" w:rsidRDefault="0056153D" w:rsidP="0056153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:rsidR="0056153D" w:rsidRPr="0056153D" w:rsidRDefault="0056153D" w:rsidP="0056153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коллеги!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 ЭКОНОМИКИ И УПРАВЛЕНИЯ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проводит </w:t>
      </w:r>
      <w:r w:rsidRPr="0056153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Всероссийскую научно-практическую конференцию 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61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bookmarkStart w:id="0" w:name="_GoBack"/>
      <w:r w:rsidRPr="0056153D">
        <w:rPr>
          <w:rFonts w:ascii="Times New Roman" w:eastAsia="Calibri" w:hAnsi="Times New Roman" w:cs="Times New Roman"/>
          <w:b/>
          <w:sz w:val="32"/>
          <w:szCs w:val="32"/>
        </w:rPr>
        <w:t>Актуальные вопросы экономики, логистики и управления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6153D">
        <w:rPr>
          <w:rFonts w:ascii="Times New Roman" w:eastAsia="Calibri" w:hAnsi="Times New Roman" w:cs="Times New Roman"/>
          <w:b/>
          <w:sz w:val="32"/>
          <w:szCs w:val="32"/>
        </w:rPr>
        <w:t>в современной России</w:t>
      </w:r>
      <w:bookmarkEnd w:id="0"/>
      <w:r w:rsidRPr="0056153D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56153D">
        <w:rPr>
          <w:rFonts w:ascii="Times New Roman" w:eastAsia="Times New Roman" w:hAnsi="Times New Roman" w:cs="Times New Roman"/>
          <w:sz w:val="23"/>
          <w:szCs w:val="23"/>
          <w:lang w:eastAsia="ar-SA"/>
        </w:rPr>
        <w:t>(с выпуском электронного сборника статей)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проведения — 21 декабря 2023 г.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</w:rPr>
        <w:t>Тематика конференции</w:t>
      </w:r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53D">
        <w:rPr>
          <w:rFonts w:ascii="Times New Roman" w:eastAsia="Times New Roman" w:hAnsi="Times New Roman" w:cs="Times New Roman"/>
          <w:sz w:val="24"/>
        </w:rPr>
        <w:t>включает в себя самый широкий спектр научно-</w:t>
      </w:r>
      <w:proofErr w:type="gramStart"/>
      <w:r w:rsidRPr="0056153D">
        <w:rPr>
          <w:rFonts w:ascii="Times New Roman" w:eastAsia="Times New Roman" w:hAnsi="Times New Roman" w:cs="Times New Roman"/>
          <w:sz w:val="24"/>
        </w:rPr>
        <w:t>практических  исследований</w:t>
      </w:r>
      <w:proofErr w:type="gramEnd"/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 по современным проблемам экономики, логистики, управления и финансов в  рамках следующих направлений:</w:t>
      </w:r>
    </w:p>
    <w:p w:rsidR="0056153D" w:rsidRPr="0056153D" w:rsidRDefault="0056153D" w:rsidP="0056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53D" w:rsidRPr="0056153D" w:rsidRDefault="0056153D" w:rsidP="0056153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993" w:hanging="284"/>
        <w:contextualSpacing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Региональные проблемы с</w:t>
      </w:r>
      <w:r w:rsidRPr="005615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оциально-экономического развития и управления </w:t>
      </w:r>
    </w:p>
    <w:p w:rsidR="0056153D" w:rsidRPr="0056153D" w:rsidRDefault="0056153D" w:rsidP="0056153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Социально-экономические аспекты экономического роста и развития российских регионов.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Проблемы межрегионального экономического взаимодействия и сотрудничества.</w:t>
      </w:r>
    </w:p>
    <w:p w:rsidR="0056153D" w:rsidRPr="0056153D" w:rsidRDefault="0056153D" w:rsidP="0056153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состояние и перспективы развития национальной финансово-кредитной системы. </w:t>
      </w:r>
    </w:p>
    <w:p w:rsidR="0056153D" w:rsidRPr="0056153D" w:rsidRDefault="0056153D" w:rsidP="0056153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перспективы развития системы государственного и муниципального управления в Российской Федерации.</w:t>
      </w:r>
    </w:p>
    <w:p w:rsidR="0056153D" w:rsidRPr="0056153D" w:rsidRDefault="0056153D" w:rsidP="0056153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проблемы развития менеджмента на современном этапе.</w:t>
      </w:r>
    </w:p>
    <w:p w:rsidR="0056153D" w:rsidRPr="0056153D" w:rsidRDefault="0056153D" w:rsidP="0056153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развития бренд-технологий в российских регионах.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Свободная экономическая зона как инструмент активизации экономики региона.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современного предпринимательства</w:t>
      </w:r>
      <w:r w:rsidRPr="005615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Анализ и особенности развития инновационной экономики в России и за рубежом.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 предприятий в современных условиях.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устойчивой организации.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Развитие региональной и отраслевой экономики в условиях </w:t>
      </w: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Проблемы управления человеческими ресурсами в инновационной экономике.</w:t>
      </w:r>
    </w:p>
    <w:p w:rsidR="0056153D" w:rsidRPr="0056153D" w:rsidRDefault="0056153D" w:rsidP="005615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Проблемы подготовки современных кадров и развитие высшего образования в России.</w:t>
      </w:r>
    </w:p>
    <w:p w:rsidR="0056153D" w:rsidRPr="0056153D" w:rsidRDefault="0056153D" w:rsidP="0056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53D" w:rsidRPr="0056153D" w:rsidRDefault="0056153D" w:rsidP="0056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Актуальные вопросы развития </w:t>
      </w:r>
      <w:proofErr w:type="spellStart"/>
      <w:r w:rsidRPr="0056153D">
        <w:rPr>
          <w:rFonts w:ascii="Times New Roman" w:eastAsia="Times New Roman" w:hAnsi="Times New Roman" w:cs="Times New Roman"/>
          <w:b/>
          <w:i/>
          <w:sz w:val="24"/>
          <w:szCs w:val="24"/>
        </w:rPr>
        <w:t>цифровизации</w:t>
      </w:r>
      <w:proofErr w:type="spellEnd"/>
      <w:r w:rsidRPr="005615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логистики 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Цифровая трансформация цепей и поставок.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технологии </w:t>
      </w: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 в работе транспортно-логистических компаний.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</w:rPr>
        <w:t xml:space="preserve"> транспортной логистики.</w:t>
      </w:r>
    </w:p>
    <w:p w:rsidR="0056153D" w:rsidRPr="0056153D" w:rsidRDefault="0056153D" w:rsidP="0056153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транспортные коридоры и направления устойчивого развития.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Практика и проблемы анализа российского рынка транспортно-логистических услуг.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Проблемы развития транспорта и логистической инфраструктуры.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Оптимизация логистических бизнес-процессов в цепях поставок.</w:t>
      </w:r>
    </w:p>
    <w:p w:rsidR="0056153D" w:rsidRPr="0056153D" w:rsidRDefault="0056153D" w:rsidP="005615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53D">
        <w:rPr>
          <w:rFonts w:ascii="Times New Roman" w:eastAsia="Times New Roman" w:hAnsi="Times New Roman" w:cs="Times New Roman"/>
          <w:sz w:val="24"/>
          <w:szCs w:val="24"/>
        </w:rPr>
        <w:t>Логистика в сфере туризма.</w:t>
      </w:r>
    </w:p>
    <w:p w:rsidR="0056153D" w:rsidRPr="0056153D" w:rsidRDefault="0056153D" w:rsidP="0056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53D" w:rsidRPr="0056153D" w:rsidRDefault="0056153D" w:rsidP="005615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Конференция предусматривает очное и заочное участие.</w:t>
      </w:r>
    </w:p>
    <w:p w:rsidR="0056153D" w:rsidRPr="0056153D" w:rsidRDefault="0056153D" w:rsidP="005615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К участию в конференции приглашаются все лица, проявляющие интерес к рассматриваемым проблемам.</w:t>
      </w:r>
    </w:p>
    <w:p w:rsidR="0056153D" w:rsidRPr="0056153D" w:rsidRDefault="0056153D" w:rsidP="005615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 располагается по адресу: 414056, г. Астрахань, ул. Татищева 20А, новый пристрой, ауд. 407, контактный телефон – 8 (8512) 24-64-72.</w:t>
      </w:r>
    </w:p>
    <w:p w:rsidR="0056153D" w:rsidRPr="0056153D" w:rsidRDefault="0056153D" w:rsidP="005615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Авторские материалы принимаются до 19 декабря 2023 г. </w:t>
      </w:r>
    </w:p>
    <w:p w:rsidR="0056153D" w:rsidRPr="0056153D" w:rsidRDefault="0056153D" w:rsidP="0056153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Материалы статей (докладов), информационные карты участников, а также </w:t>
      </w:r>
      <w:r w:rsidRPr="005615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справки о степени оригинальности статьи (не менее 70%) п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росим направлять в электронном виде на адрес: </w:t>
      </w:r>
      <w:proofErr w:type="spellStart"/>
      <w:r w:rsidRPr="005615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leuhin</w:t>
      </w:r>
      <w:proofErr w:type="spellEnd"/>
      <w:r w:rsidRPr="005615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_1242</w:t>
      </w:r>
      <w:hyperlink r:id="rId5" w:history="1">
        <w:r w:rsidRPr="0056153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@</w:t>
        </w:r>
        <w:r w:rsidRPr="0056153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ar-SA"/>
          </w:rPr>
          <w:t>mail</w:t>
        </w:r>
        <w:r w:rsidRPr="0056153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Pr="0056153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Опубликование статей в сборнике платное, из расчета 700 рублей за статью (участнику предоставляется электронный сборник статей и сертификат участника). Все статьи будут изданы в авторской редакции, сборнику присвоен </w:t>
      </w:r>
      <w:r w:rsidRPr="0056153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ISBN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Сборник статей в электронном виде будет размещен в Научной электронной библиотеке (РИНЦ) www.elibrary.ru.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Оргвзнос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публикацию статьи можно перечислить до 19 декабря 2023 года по следующим реквизитам: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Федеральное государственное бюджетное образовательное учреждение высшего образования «Астраханский государственный университет имени В.Н. Татищева»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ФГБОУ ВО «АГУ им. В.Н. Татищева»</w:t>
            </w:r>
          </w:p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3016009269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301601001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1023000818554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 xml:space="preserve">Банк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ОТДЕЛЕНИЕ АСТРАХАНЬ БАНКА РОССИИ//УФК по Астраханской области г. Астрахань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 xml:space="preserve">БИК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011203901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</w:t>
            </w:r>
          </w:p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40102810445370000017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Казначейский счет</w:t>
            </w:r>
          </w:p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03214643000000012500</w:t>
            </w:r>
          </w:p>
        </w:tc>
      </w:tr>
      <w:tr w:rsidR="0056153D" w:rsidRPr="0056153D" w:rsidTr="006F051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получателя (плательщика)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3D" w:rsidRPr="0056153D" w:rsidRDefault="0056153D" w:rsidP="0056153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УФК по Астраханской области (ФГБОУ ВО </w:t>
            </w:r>
            <w:r w:rsidRPr="0056153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АГУ им. В.Н. </w:t>
            </w:r>
            <w:proofErr w:type="gramStart"/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Татищева»  л</w:t>
            </w:r>
            <w:proofErr w:type="gramEnd"/>
            <w:r w:rsidRPr="0056153D">
              <w:rPr>
                <w:rFonts w:ascii="Times New Roman" w:eastAsia="Times New Roman" w:hAnsi="Times New Roman" w:cs="Times New Roman"/>
                <w:iCs/>
                <w:lang w:eastAsia="ru-RU"/>
              </w:rPr>
              <w:t>/с 20256Ц14780)</w:t>
            </w:r>
          </w:p>
        </w:tc>
      </w:tr>
    </w:tbl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ПЛАТЕЖА: </w:t>
      </w: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оргвзнос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участие во </w:t>
      </w: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Всерос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конференции </w:t>
      </w:r>
      <w:proofErr w:type="spellStart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ФЭиУ</w:t>
      </w:r>
      <w:proofErr w:type="spellEnd"/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кафедра менеджмента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ФИО ПЛАТЕЛЬЩИКА (участника конференции, автора публикации) – </w:t>
      </w: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УКАЗАТЬ ОБЯЗАТЕЛЬНО!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ЧЕК присылать вместе со статьей!!!!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153D" w:rsidRPr="0056153D" w:rsidRDefault="0056153D" w:rsidP="0056153D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ОФОРМЛЕНИЮ СТАТЕЙ</w:t>
      </w:r>
    </w:p>
    <w:p w:rsidR="0056153D" w:rsidRPr="0056153D" w:rsidRDefault="0056153D" w:rsidP="0056153D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Допустимый объем статьи – 3 - 5 стр.</w:t>
      </w:r>
    </w:p>
    <w:p w:rsidR="0056153D" w:rsidRPr="0056153D" w:rsidRDefault="0056153D" w:rsidP="0056153D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Формат текста: текстовый редактор </w:t>
      </w:r>
      <w:r w:rsidRPr="0056153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(любая версия).</w:t>
      </w:r>
    </w:p>
    <w:p w:rsidR="0056153D" w:rsidRPr="0056153D" w:rsidRDefault="0056153D" w:rsidP="0056153D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spacing w:after="0" w:line="240" w:lineRule="auto"/>
        <w:ind w:firstLine="540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При наборе текста использовать следующие установки: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val="en-US"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шрифт</w:t>
      </w:r>
      <w:r w:rsidRPr="0056153D">
        <w:rPr>
          <w:rFonts w:ascii="Times New Roman" w:eastAsia="Impact" w:hAnsi="Times New Roman" w:cs="Times New Roman"/>
          <w:sz w:val="24"/>
          <w:szCs w:val="24"/>
          <w:lang w:val="en-US" w:eastAsia="ar-SA"/>
        </w:rPr>
        <w:t xml:space="preserve"> – Times New Roman;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кегль шрифта – 14;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интервал – одинарный;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поля – все по 2 см;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автоматическая расстановка переносов, ширина зоны переноса – 0,25 см с ограничением трех переносов подряд;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выравнивание по ширине строки;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абзац – отступ первой строки (1 см);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все рисунки и схемы делать в формате рисунка (чтобы при верстке не допустить смещений);</w:t>
      </w:r>
    </w:p>
    <w:p w:rsidR="0056153D" w:rsidRPr="0056153D" w:rsidRDefault="0056153D" w:rsidP="0056153D">
      <w:pPr>
        <w:numPr>
          <w:ilvl w:val="1"/>
          <w:numId w:val="4"/>
        </w:numPr>
        <w:tabs>
          <w:tab w:val="left" w:pos="360"/>
          <w:tab w:val="left" w:pos="1560"/>
          <w:tab w:val="num" w:pos="1980"/>
        </w:tabs>
        <w:suppressAutoHyphens/>
        <w:spacing w:after="0" w:line="240" w:lineRule="auto"/>
        <w:ind w:left="360" w:firstLine="85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Impact" w:hAnsi="Times New Roman" w:cs="Times New Roman"/>
          <w:sz w:val="24"/>
          <w:szCs w:val="24"/>
          <w:lang w:eastAsia="ar-SA"/>
        </w:rPr>
        <w:t>для нумерации страниц использовать положение внизу страницы, в правом углу (нумерация начинается от титульного листа включительно).</w:t>
      </w:r>
    </w:p>
    <w:p w:rsidR="0056153D" w:rsidRPr="0056153D" w:rsidRDefault="0056153D" w:rsidP="0056153D">
      <w:pPr>
        <w:tabs>
          <w:tab w:val="left" w:pos="360"/>
        </w:tabs>
        <w:suppressAutoHyphens/>
        <w:spacing w:after="0" w:line="240" w:lineRule="auto"/>
        <w:ind w:left="1211"/>
        <w:jc w:val="both"/>
        <w:rPr>
          <w:rFonts w:ascii="Times New Roman" w:eastAsia="Impact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numPr>
          <w:ilvl w:val="0"/>
          <w:numId w:val="1"/>
        </w:numPr>
        <w:tabs>
          <w:tab w:val="left" w:pos="900"/>
          <w:tab w:val="left" w:pos="19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Сноски оформляются как </w:t>
      </w:r>
      <w:r w:rsidRPr="0056153D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подстрочные ссылки (ссылка оформляется таким образом, чтобы источник цитаты заимствования размещался внизу страницы с указанием номера страницы цитируемого источника)</w:t>
      </w:r>
    </w:p>
    <w:p w:rsidR="0056153D" w:rsidRPr="0056153D" w:rsidRDefault="0056153D" w:rsidP="0056153D">
      <w:pPr>
        <w:tabs>
          <w:tab w:val="left" w:pos="900"/>
          <w:tab w:val="left" w:pos="1965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tabs>
          <w:tab w:val="left" w:pos="900"/>
          <w:tab w:val="left" w:pos="1965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конце статьи должен располагаться список литературы. </w:t>
      </w: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6153D" w:rsidRPr="0056153D" w:rsidRDefault="0056153D" w:rsidP="0056153D">
      <w:pPr>
        <w:tabs>
          <w:tab w:val="left" w:pos="900"/>
          <w:tab w:val="left" w:pos="1965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numPr>
          <w:ilvl w:val="0"/>
          <w:numId w:val="1"/>
        </w:numPr>
        <w:tabs>
          <w:tab w:val="left" w:pos="900"/>
          <w:tab w:val="left" w:pos="19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Образец оформления списка литературы представлен ниже. </w:t>
      </w:r>
    </w:p>
    <w:p w:rsidR="0056153D" w:rsidRPr="0056153D" w:rsidRDefault="0056153D" w:rsidP="0056153D">
      <w:pPr>
        <w:suppressAutoHyphens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Список литературы</w:t>
      </w:r>
    </w:p>
    <w:p w:rsidR="0056153D" w:rsidRPr="0056153D" w:rsidRDefault="0056153D" w:rsidP="0056153D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5615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Иванов И.И.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Управление регионом / И.И. Иванов // Региональные эксперименты. – 2019. – № 1. – С. 33-38.</w:t>
      </w:r>
    </w:p>
    <w:p w:rsidR="0056153D" w:rsidRPr="0056153D" w:rsidRDefault="0056153D" w:rsidP="0056153D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5615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Иванов И.И.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Управление регионом / И.И. Иванов. − М.: Перспектива, 2020. – 270 с.</w:t>
      </w:r>
    </w:p>
    <w:p w:rsidR="0056153D" w:rsidRPr="0056153D" w:rsidRDefault="0056153D" w:rsidP="0056153D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Образец оформления:</w:t>
      </w:r>
    </w:p>
    <w:p w:rsidR="0056153D" w:rsidRPr="0056153D" w:rsidRDefault="0056153D" w:rsidP="0056153D">
      <w:pPr>
        <w:tabs>
          <w:tab w:val="left" w:pos="9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15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НАЗВАНИЕ СТАТЬИ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153D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 И.И., Иванова А.А.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153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Степень, звание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153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организации (вуз, предприятие, учреждение)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153D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 статьи. Текст статьи. Текст статьи.</w:t>
      </w: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153D" w:rsidRPr="0056153D" w:rsidRDefault="0056153D" w:rsidP="00561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ИНФОРМАЦИОННАЯ КАРТА УЧАСТНИКА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 ________________________  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Имя ____________________________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Отчество ________________________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Ученая степень, звание 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Должность ________________________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________________________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Телефон (сотовый) ______________________________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6153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_____________________________ </w:t>
      </w:r>
    </w:p>
    <w:p w:rsidR="0056153D" w:rsidRPr="0056153D" w:rsidRDefault="0056153D" w:rsidP="00561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Название доклада __________________________________ </w:t>
      </w:r>
    </w:p>
    <w:p w:rsidR="0056153D" w:rsidRPr="0056153D" w:rsidRDefault="0056153D" w:rsidP="0056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B7547" w:rsidRDefault="00AB7547"/>
    <w:sectPr w:rsidR="00AB7547" w:rsidSect="00023869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firstLine="0"/>
      </w:pPr>
      <w:rPr>
        <w:rFonts w:cs="Times New Roman"/>
      </w:rPr>
    </w:lvl>
  </w:abstractNum>
  <w:abstractNum w:abstractNumId="1">
    <w:nsid w:val="017C0DC3"/>
    <w:multiLevelType w:val="hybridMultilevel"/>
    <w:tmpl w:val="5F34B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82910"/>
    <w:multiLevelType w:val="hybridMultilevel"/>
    <w:tmpl w:val="A1A47D84"/>
    <w:lvl w:ilvl="0" w:tplc="6932FD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881C70"/>
    <w:multiLevelType w:val="hybridMultilevel"/>
    <w:tmpl w:val="6C1C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35F69"/>
    <w:multiLevelType w:val="hybridMultilevel"/>
    <w:tmpl w:val="2DDCA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3D"/>
    <w:rsid w:val="0056153D"/>
    <w:rsid w:val="009D408D"/>
    <w:rsid w:val="00A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3B9F8-14F0-4716-8943-9CA61D72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r-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1</cp:revision>
  <dcterms:created xsi:type="dcterms:W3CDTF">2023-12-08T09:17:00Z</dcterms:created>
  <dcterms:modified xsi:type="dcterms:W3CDTF">2023-12-08T09:21:00Z</dcterms:modified>
</cp:coreProperties>
</file>